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8B3" w:rsidRDefault="00507E55" w:rsidP="00AB4C02">
      <w:pPr>
        <w:pStyle w:val="Nzev"/>
        <w:outlineLvl w:val="0"/>
        <w:rPr>
          <w:sz w:val="30"/>
        </w:rPr>
      </w:pPr>
      <w:r>
        <w:rPr>
          <w:b w:val="0"/>
          <w:bCs w:val="0"/>
          <w:noProof/>
          <w:sz w:val="3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-571500</wp:posOffset>
                </wp:positionV>
                <wp:extent cx="1926590" cy="442595"/>
                <wp:effectExtent l="0" t="0" r="1905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65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5ECC" w:rsidRDefault="00507E55" w:rsidP="009B08B3">
                            <w:r>
                              <w:rPr>
                                <w:rFonts w:ascii="NimbusSanL" w:hAnsi="NimbusSanL" w:cs="Courier New"/>
                                <w:b/>
                                <w:bCs/>
                                <w:noProof/>
                                <w:sz w:val="24"/>
                              </w:rPr>
                              <w:drawing>
                                <wp:inline distT="0" distB="0" distL="0" distR="0">
                                  <wp:extent cx="1743075" cy="352425"/>
                                  <wp:effectExtent l="0" t="0" r="9525" b="9525"/>
                                  <wp:docPr id="2" name="obrázek 2" descr="logo_new_poz_6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_new_poz_60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70000" contrast="-70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30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9pt;margin-top:-45pt;width:151.7pt;height:34.85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" filled="f" stroked="f">
                <v:textbox style="mso-fit-shape-to-text:t">
                  <w:txbxContent>
                    <w:p w:rsidR="00125ECC" w:rsidRDefault="00507E55" w:rsidP="009B08B3">
                      <w:r>
                        <w:rPr>
                          <w:rFonts w:ascii="NimbusSanL" w:hAnsi="NimbusSanL" w:cs="Courier New"/>
                          <w:b/>
                          <w:bCs/>
                          <w:noProof/>
                          <w:sz w:val="24"/>
                        </w:rPr>
                        <w:drawing>
                          <wp:inline distT="0" distB="0" distL="0" distR="0">
                            <wp:extent cx="1743075" cy="352425"/>
                            <wp:effectExtent l="0" t="0" r="9525" b="9525"/>
                            <wp:docPr id="2" name="obrázek 2" descr="logo_new_poz_6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_new_poz_60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lum bright="70000" contrast="-70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30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08B3">
        <w:rPr>
          <w:sz w:val="30"/>
        </w:rPr>
        <w:t>Záznam jednání</w:t>
      </w:r>
    </w:p>
    <w:p w:rsidR="009B08B3" w:rsidRDefault="009B08B3" w:rsidP="009B08B3">
      <w:pPr>
        <w:jc w:val="center"/>
        <w:rPr>
          <w:rFonts w:cs="Arial"/>
          <w:b/>
          <w:bCs/>
          <w:sz w:val="28"/>
        </w:rPr>
      </w:pPr>
    </w:p>
    <w:p w:rsidR="009B08B3" w:rsidRDefault="009B08B3" w:rsidP="00AB4C02">
      <w:pPr>
        <w:tabs>
          <w:tab w:val="left" w:pos="2268"/>
        </w:tabs>
        <w:spacing w:line="360" w:lineRule="auto"/>
        <w:outlineLvl w:val="0"/>
        <w:rPr>
          <w:rFonts w:cs="Arial"/>
          <w:b/>
          <w:bCs/>
        </w:rPr>
      </w:pPr>
      <w:r>
        <w:rPr>
          <w:rFonts w:cs="Arial"/>
          <w:b/>
          <w:bCs/>
        </w:rPr>
        <w:t>Datum jednání:</w:t>
      </w:r>
      <w:r>
        <w:rPr>
          <w:rFonts w:cs="Arial"/>
          <w:b/>
          <w:bCs/>
        </w:rPr>
        <w:tab/>
      </w:r>
      <w:r w:rsidR="000006F9">
        <w:rPr>
          <w:rFonts w:cs="Arial"/>
          <w:b/>
          <w:bCs/>
        </w:rPr>
        <w:t>13. října 2017</w:t>
      </w:r>
    </w:p>
    <w:p w:rsidR="009B08B3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>
        <w:rPr>
          <w:rFonts w:cs="Arial"/>
          <w:b/>
          <w:bCs/>
        </w:rPr>
        <w:t>Místo jednání:</w:t>
      </w:r>
      <w:r>
        <w:rPr>
          <w:rFonts w:cs="Arial"/>
          <w:b/>
          <w:bCs/>
        </w:rPr>
        <w:tab/>
      </w:r>
      <w:r w:rsidR="000006F9">
        <w:rPr>
          <w:rFonts w:cs="Arial"/>
          <w:b/>
          <w:bCs/>
        </w:rPr>
        <w:t>Povodí Moravy, s.p., U Dětského domova 263/4, Olomouc</w:t>
      </w:r>
    </w:p>
    <w:p w:rsidR="009B08B3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>
        <w:rPr>
          <w:rFonts w:cs="Arial"/>
          <w:b/>
          <w:bCs/>
        </w:rPr>
        <w:t>Akce:</w:t>
      </w:r>
      <w:r>
        <w:rPr>
          <w:rFonts w:cs="Arial"/>
          <w:b/>
          <w:bCs/>
        </w:rPr>
        <w:tab/>
      </w:r>
      <w:r w:rsidR="006B7CB3">
        <w:rPr>
          <w:rFonts w:cs="Arial"/>
          <w:b/>
        </w:rPr>
        <w:t>Třebůvka, Linhartice – optimalizace koryta toku (horní úsek)</w:t>
      </w:r>
    </w:p>
    <w:p w:rsidR="009B08B3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>
        <w:rPr>
          <w:rFonts w:cs="Arial"/>
          <w:b/>
          <w:bCs/>
        </w:rPr>
        <w:t>Přítomni:</w:t>
      </w:r>
      <w:r>
        <w:rPr>
          <w:rFonts w:cs="Arial"/>
          <w:b/>
          <w:bCs/>
        </w:rPr>
        <w:tab/>
        <w:t>dle prezenční listiny</w:t>
      </w:r>
    </w:p>
    <w:p w:rsidR="009B08B3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>
        <w:rPr>
          <w:rFonts w:cs="Arial"/>
          <w:b/>
          <w:bCs/>
        </w:rPr>
        <w:t>Zaznamenal:</w:t>
      </w:r>
      <w:r>
        <w:rPr>
          <w:rFonts w:cs="Arial"/>
          <w:b/>
          <w:bCs/>
        </w:rPr>
        <w:tab/>
      </w:r>
      <w:r w:rsidR="00DA5F26">
        <w:rPr>
          <w:rFonts w:cs="Arial"/>
          <w:b/>
          <w:bCs/>
        </w:rPr>
        <w:t>Ing. Anna Höllová</w:t>
      </w:r>
    </w:p>
    <w:p w:rsidR="00DA5F26" w:rsidRDefault="00DA5F26" w:rsidP="00DA5F26">
      <w:pPr>
        <w:spacing w:line="360" w:lineRule="auto"/>
        <w:rPr>
          <w:rFonts w:cs="Arial"/>
          <w:bCs/>
        </w:rPr>
      </w:pPr>
    </w:p>
    <w:p w:rsidR="00DA5F26" w:rsidRDefault="00DA5F26" w:rsidP="00472B04">
      <w:pPr>
        <w:spacing w:after="120"/>
        <w:outlineLvl w:val="0"/>
        <w:rPr>
          <w:b/>
        </w:rPr>
      </w:pPr>
      <w:r w:rsidRPr="007D47BF">
        <w:rPr>
          <w:b/>
        </w:rPr>
        <w:t>Na tomto jednání bylo projednáno následující:</w:t>
      </w:r>
    </w:p>
    <w:p w:rsidR="00DA5F26" w:rsidRDefault="00DA5F26" w:rsidP="00FC13AE">
      <w:pPr>
        <w:pStyle w:val="Odstavecseseznamem"/>
        <w:numPr>
          <w:ilvl w:val="0"/>
          <w:numId w:val="3"/>
        </w:numPr>
        <w:jc w:val="both"/>
      </w:pPr>
      <w:r w:rsidRPr="007D47BF">
        <w:t>Zástupci zhotovitele seznámili přítomné s postupem projektové přípravy.</w:t>
      </w:r>
    </w:p>
    <w:p w:rsidR="00472B04" w:rsidRDefault="00472B04" w:rsidP="00FC13AE">
      <w:pPr>
        <w:pStyle w:val="Odstavecseseznamem"/>
        <w:numPr>
          <w:ilvl w:val="0"/>
          <w:numId w:val="3"/>
        </w:numPr>
        <w:jc w:val="both"/>
      </w:pPr>
      <w:r>
        <w:t>Zhotovitel již obdržel aktuální hydrologická data z ČHMÚ.</w:t>
      </w:r>
    </w:p>
    <w:p w:rsidR="00472B04" w:rsidRDefault="00472B04" w:rsidP="00FC13AE">
      <w:pPr>
        <w:pStyle w:val="Odstavecseseznamem"/>
        <w:numPr>
          <w:ilvl w:val="0"/>
          <w:numId w:val="3"/>
        </w:numPr>
        <w:jc w:val="both"/>
      </w:pPr>
      <w:r>
        <w:t>Doposud se nepodařilo dohledat původní projektovou dokumentaci</w:t>
      </w:r>
      <w:r w:rsidR="005724A6">
        <w:t xml:space="preserve"> (PMO, Státní okresní archiv)</w:t>
      </w:r>
      <w:r>
        <w:t>, z toho důvodu se nebude zpracovávat hydrotechnické posouzení projektovaného stavu (dle SoD).</w:t>
      </w:r>
      <w:r w:rsidR="00267E6B">
        <w:t xml:space="preserve"> </w:t>
      </w:r>
    </w:p>
    <w:p w:rsidR="00472B04" w:rsidRDefault="00FC7130" w:rsidP="00FC13AE">
      <w:pPr>
        <w:pStyle w:val="Odstavecseseznamem"/>
        <w:numPr>
          <w:ilvl w:val="0"/>
          <w:numId w:val="3"/>
        </w:numPr>
        <w:jc w:val="both"/>
      </w:pPr>
      <w:r>
        <w:t>Dne 4. 10. 2017, v rámci dalšího terénního průzkumu, byly provedeny kopané sondy a byly odebrány vzorky sedime</w:t>
      </w:r>
      <w:r w:rsidR="005724A6">
        <w:t>ntů.</w:t>
      </w:r>
    </w:p>
    <w:p w:rsidR="00A445B8" w:rsidRDefault="00A445B8" w:rsidP="00A445B8">
      <w:pPr>
        <w:pStyle w:val="Odstavecseseznamem"/>
        <w:numPr>
          <w:ilvl w:val="0"/>
          <w:numId w:val="3"/>
        </w:numPr>
        <w:jc w:val="both"/>
      </w:pPr>
      <w:r>
        <w:t xml:space="preserve">Dle SoD má být navržena stěhovavá kyneta. Již ze zápisu z 1 výrobního výboru vyplývá, že pokud toto nebude možné navrhnout, bude </w:t>
      </w:r>
      <w:r w:rsidR="005724A6">
        <w:t xml:space="preserve">navržena </w:t>
      </w:r>
      <w:r>
        <w:t xml:space="preserve">kyneta pevná. </w:t>
      </w:r>
    </w:p>
    <w:p w:rsidR="00A445B8" w:rsidRDefault="00A445B8" w:rsidP="00A445B8">
      <w:pPr>
        <w:pStyle w:val="Odstavecseseznamem"/>
        <w:numPr>
          <w:ilvl w:val="0"/>
          <w:numId w:val="3"/>
        </w:numPr>
        <w:jc w:val="both"/>
      </w:pPr>
      <w:r>
        <w:t>Zhotovitel obdržel od objednatele vzorovou dokumentaci stavby: „Trusovický potok, Bohuňovice – optimalizace toku“, ze kterého má vycházet při návrhu optimalizace toku Třebůvky.</w:t>
      </w:r>
    </w:p>
    <w:p w:rsidR="00F868D1" w:rsidRDefault="00F868D1" w:rsidP="00FC13AE">
      <w:pPr>
        <w:pStyle w:val="Odstavecseseznamem"/>
        <w:numPr>
          <w:ilvl w:val="0"/>
          <w:numId w:val="3"/>
        </w:numPr>
        <w:jc w:val="both"/>
      </w:pPr>
      <w:r>
        <w:t xml:space="preserve">Na základě </w:t>
      </w:r>
      <w:r w:rsidR="00FC13AE">
        <w:t xml:space="preserve">podrobného průzkumu terénu zhotovitel upozornil na špatný stav stávající </w:t>
      </w:r>
      <w:r w:rsidR="0031555D">
        <w:t xml:space="preserve">zděné </w:t>
      </w:r>
      <w:r w:rsidR="00FC13AE">
        <w:t>levobřežní opěrné zdi</w:t>
      </w:r>
      <w:r w:rsidR="005724A6">
        <w:t xml:space="preserve"> (dále OZ)</w:t>
      </w:r>
      <w:r w:rsidR="00FC13AE">
        <w:t xml:space="preserve">. </w:t>
      </w:r>
      <w:r w:rsidR="00EC0FFC">
        <w:t>Dne 13. 10. 2017 byl proveden</w:t>
      </w:r>
      <w:r w:rsidR="0031555D">
        <w:t xml:space="preserve"> podrobný</w:t>
      </w:r>
      <w:r w:rsidR="00EC0FFC">
        <w:t xml:space="preserve"> pasport OZ za účasti autorizovaného statika a následně na 3. výrobním výboru byl diskutován další postup prací.</w:t>
      </w:r>
    </w:p>
    <w:p w:rsidR="0031555D" w:rsidRDefault="005724A6" w:rsidP="00FC13AE">
      <w:pPr>
        <w:pStyle w:val="Odstavecseseznamem"/>
        <w:numPr>
          <w:ilvl w:val="0"/>
          <w:numId w:val="3"/>
        </w:numPr>
        <w:jc w:val="both"/>
      </w:pPr>
      <w:r>
        <w:t xml:space="preserve">OZ </w:t>
      </w:r>
      <w:r w:rsidR="0031555D">
        <w:t xml:space="preserve">je z toku přitížena nánosem sedimentů, dále zhruba polovinu celkové délky OZ lemují vzrostlé stromy (cca po 5 - 10 m). Dle SoD budou stromy i nánosy sedimentů odstraněny – což výrazně naruší stabilitu konstrukce OZ. </w:t>
      </w:r>
    </w:p>
    <w:p w:rsidR="0031555D" w:rsidRDefault="00267E6B" w:rsidP="00FC13AE">
      <w:pPr>
        <w:pStyle w:val="Odstavecseseznamem"/>
        <w:numPr>
          <w:ilvl w:val="0"/>
          <w:numId w:val="3"/>
        </w:numPr>
        <w:jc w:val="both"/>
      </w:pPr>
      <w:r>
        <w:t xml:space="preserve">Objednatel byl seznámen s aktuální situací a stavem </w:t>
      </w:r>
      <w:r w:rsidR="005724A6">
        <w:t>OZ</w:t>
      </w:r>
      <w:r>
        <w:t xml:space="preserve">. Požadavky investora k problému </w:t>
      </w:r>
      <w:r w:rsidR="005724A6">
        <w:t>OZ</w:t>
      </w:r>
      <w:r>
        <w:t xml:space="preserve"> jsou následující: </w:t>
      </w:r>
      <w:r w:rsidR="0031555D">
        <w:t>Objednatel požaduje v rámci tohoto projektu navrhnout pouze</w:t>
      </w:r>
      <w:r w:rsidR="00DA057F">
        <w:t xml:space="preserve"> pomístnou</w:t>
      </w:r>
      <w:r w:rsidR="0031555D">
        <w:t xml:space="preserve"> opravu </w:t>
      </w:r>
      <w:r w:rsidR="005724A6">
        <w:t>OZ</w:t>
      </w:r>
      <w:r w:rsidR="0031555D">
        <w:t xml:space="preserve">, </w:t>
      </w:r>
      <w:r w:rsidR="005724A6">
        <w:t>jejíž</w:t>
      </w:r>
      <w:r w:rsidR="0031555D">
        <w:t xml:space="preserve"> součástí bude</w:t>
      </w:r>
      <w:r w:rsidR="00DA057F">
        <w:t xml:space="preserve"> také</w:t>
      </w:r>
      <w:r w:rsidR="0031555D">
        <w:t xml:space="preserve"> nová římsa a zábradlí. Vzrostlé stromy budou </w:t>
      </w:r>
      <w:r w:rsidR="005724A6">
        <w:t>odstraněny</w:t>
      </w:r>
      <w:r w:rsidR="00DA057F">
        <w:t xml:space="preserve"> z koryta toku</w:t>
      </w:r>
      <w:r w:rsidR="005724A6">
        <w:t xml:space="preserve">, včetně pařezů. V případě, že dojde k poškození OZ, bude provedena pomístná oprava v místě poškození. Primárním záměrem zadání není oprava OZ, ale optimalizace toku. Vzhledem k zadání k tomuto bude i tak přistupováno a nebude řešena statika </w:t>
      </w:r>
      <w:r w:rsidR="00DA057F">
        <w:t>OZ</w:t>
      </w:r>
      <w:r w:rsidR="005724A6">
        <w:t>. V rámci PD bude pouze popsán stávající stav.</w:t>
      </w:r>
      <w:r w:rsidR="00DA057F">
        <w:t xml:space="preserve"> Na levém břehu bude navrženo vytvarování stávajících nánosů do tvaru bermy, bude odstraněno cca 15 cm vrchní vrstvy, která bude nahrazena makadamem, ohumusována a oseta – bude aplikován hydroosev. </w:t>
      </w:r>
    </w:p>
    <w:p w:rsidR="0072457A" w:rsidRDefault="0072457A" w:rsidP="00FC13AE">
      <w:pPr>
        <w:pStyle w:val="Odstavecseseznamem"/>
        <w:numPr>
          <w:ilvl w:val="0"/>
          <w:numId w:val="3"/>
        </w:numPr>
        <w:jc w:val="both"/>
      </w:pPr>
      <w:r>
        <w:t xml:space="preserve">Dle SoD je zhotovitel povinen provést vrtné práce pro ověření stavu OZ – min. 2 odvrty (především pro zjištění </w:t>
      </w:r>
      <w:r w:rsidR="00FF6327">
        <w:t>výšky</w:t>
      </w:r>
      <w:r>
        <w:t xml:space="preserve"> OZ a </w:t>
      </w:r>
      <w:r w:rsidR="00FF6327">
        <w:t>zjištění hloubky založení OZ</w:t>
      </w:r>
      <w:r>
        <w:t xml:space="preserve">). Dle domluvy nebudou odvrty realizovány. OZ je v několika místech výrazně porušena, přičemž v jednom případě se jedná o </w:t>
      </w:r>
      <w:r w:rsidR="00EF402E">
        <w:t xml:space="preserve">rozsáhlou poruchu </w:t>
      </w:r>
      <w:r w:rsidR="00FF6327">
        <w:t>přes celou šířku OZ</w:t>
      </w:r>
      <w:r w:rsidR="00EF402E">
        <w:t>.</w:t>
      </w:r>
      <w:r w:rsidR="00107ED0">
        <w:t xml:space="preserve"> V tomto porušení je vidět prostor za zdí a je patrná i šířka zdi.</w:t>
      </w:r>
    </w:p>
    <w:p w:rsidR="00F93DCD" w:rsidRPr="007D58F4" w:rsidRDefault="00A445B8" w:rsidP="007D58F4">
      <w:pPr>
        <w:pStyle w:val="Odstavecseseznamem"/>
        <w:numPr>
          <w:ilvl w:val="0"/>
          <w:numId w:val="3"/>
        </w:numPr>
        <w:spacing w:before="120"/>
        <w:jc w:val="both"/>
        <w:rPr>
          <w:rFonts w:cs="Arial"/>
          <w:bCs/>
          <w:szCs w:val="20"/>
        </w:rPr>
      </w:pPr>
      <w:r>
        <w:t>Dle d</w:t>
      </w:r>
      <w:r w:rsidR="00FF6327">
        <w:t xml:space="preserve">omluvy obou stran bude provedena 18. </w:t>
      </w:r>
      <w:r w:rsidR="000736A2">
        <w:t>10. 2017</w:t>
      </w:r>
      <w:r w:rsidR="00FF6327">
        <w:t xml:space="preserve"> kopaná sonda podél základu OZ a na základě </w:t>
      </w:r>
      <w:r w:rsidR="000736A2">
        <w:t>terénního průzkumu ze dne 13. 10. 2017 bude proveden detailní popis stávající OZ, včetně fotodokumentace,</w:t>
      </w:r>
      <w:r w:rsidR="007D58F4">
        <w:t xml:space="preserve"> který bude předán investorovi.</w:t>
      </w:r>
      <w:bookmarkStart w:id="0" w:name="_GoBack"/>
      <w:bookmarkEnd w:id="0"/>
    </w:p>
    <w:sectPr w:rsidR="00F93DCD" w:rsidRPr="007D58F4" w:rsidSect="007D58F4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EA3" w:rsidRDefault="00743EA3">
      <w:r>
        <w:separator/>
      </w:r>
    </w:p>
  </w:endnote>
  <w:endnote w:type="continuationSeparator" w:id="0">
    <w:p w:rsidR="00743EA3" w:rsidRDefault="0074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">
    <w:altName w:val="Courier New"/>
    <w:charset w:val="EE"/>
    <w:family w:val="auto"/>
    <w:pitch w:val="variable"/>
    <w:sig w:usb0="00000001" w:usb1="000078EB" w:usb2="00000000" w:usb3="00000000" w:csb0="0000009F" w:csb1="00000000"/>
  </w:font>
  <w:font w:name="NimbusSanDCon">
    <w:altName w:val="Arial Narrow"/>
    <w:charset w:val="EE"/>
    <w:family w:val="swiss"/>
    <w:pitch w:val="variable"/>
    <w:sig w:usb0="00000001" w:usb1="000078F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23" w:type="pct"/>
      <w:tblLook w:val="0000" w:firstRow="0" w:lastRow="0" w:firstColumn="0" w:lastColumn="0" w:noHBand="0" w:noVBand="0"/>
    </w:tblPr>
    <w:tblGrid>
      <w:gridCol w:w="3958"/>
      <w:gridCol w:w="1718"/>
      <w:gridCol w:w="3254"/>
    </w:tblGrid>
    <w:tr w:rsidR="00F07489" w:rsidRPr="00886E00" w:rsidTr="00664B24">
      <w:trPr>
        <w:trHeight w:val="481"/>
      </w:trPr>
      <w:tc>
        <w:tcPr>
          <w:tcW w:w="2216" w:type="pct"/>
        </w:tcPr>
        <w:p w:rsidR="00F07489" w:rsidRPr="00AE6151" w:rsidRDefault="006B7CB3" w:rsidP="009B08B3">
          <w:pPr>
            <w:pStyle w:val="Zhlav"/>
            <w:spacing w:line="276" w:lineRule="auto"/>
            <w:rPr>
              <w:rFonts w:ascii="NimbusSanDCon" w:hAnsi="NimbusSanDCon"/>
              <w:szCs w:val="20"/>
            </w:rPr>
          </w:pPr>
          <w:r w:rsidRPr="006B7CB3">
            <w:rPr>
              <w:rFonts w:ascii="NimbusSanDCon" w:hAnsi="NimbusSanDCon"/>
              <w:szCs w:val="20"/>
            </w:rPr>
            <w:t>Třebůvka, Linhartice – optimalizace koryta toku (horní úsek)</w:t>
          </w:r>
        </w:p>
      </w:tc>
      <w:tc>
        <w:tcPr>
          <w:tcW w:w="962" w:type="pct"/>
        </w:tcPr>
        <w:p w:rsidR="00F07489" w:rsidRPr="00831224" w:rsidRDefault="00F07489" w:rsidP="001833FE">
          <w:pPr>
            <w:pStyle w:val="Zpat"/>
            <w:spacing w:line="276" w:lineRule="auto"/>
            <w:jc w:val="center"/>
            <w:rPr>
              <w:rFonts w:ascii="NimbusSanDCon" w:hAnsi="NimbusSanDCon"/>
              <w:color w:val="0070C0"/>
            </w:rPr>
          </w:pPr>
          <w:r w:rsidRPr="00831224">
            <w:rPr>
              <w:rFonts w:ascii="NimbusSanDCon" w:hAnsi="NimbusSanDCon"/>
              <w:color w:val="0070C0"/>
            </w:rPr>
            <w:t>www.</w:t>
          </w:r>
          <w:r w:rsidR="00471ECC" w:rsidRPr="00831224">
            <w:rPr>
              <w:rFonts w:ascii="NimbusSanDCon" w:hAnsi="NimbusSanDCon"/>
              <w:color w:val="0070C0"/>
            </w:rPr>
            <w:t>geotest</w:t>
          </w:r>
          <w:r w:rsidRPr="00831224">
            <w:rPr>
              <w:rFonts w:ascii="NimbusSanDCon" w:hAnsi="NimbusSanDCon"/>
              <w:color w:val="0070C0"/>
            </w:rPr>
            <w:t>.cz</w:t>
          </w:r>
        </w:p>
      </w:tc>
      <w:tc>
        <w:tcPr>
          <w:tcW w:w="1822" w:type="pct"/>
        </w:tcPr>
        <w:p w:rsidR="00F07489" w:rsidRPr="00886E00" w:rsidRDefault="00F07489" w:rsidP="001833FE">
          <w:pPr>
            <w:pStyle w:val="Zpat"/>
            <w:spacing w:line="276" w:lineRule="auto"/>
            <w:jc w:val="right"/>
            <w:rPr>
              <w:rFonts w:ascii="NimbusSanDCon" w:hAnsi="NimbusSanDCon"/>
            </w:rPr>
          </w:pPr>
          <w:r w:rsidRPr="00886E00">
            <w:rPr>
              <w:rFonts w:ascii="NimbusSanDCon" w:hAnsi="NimbusSanDCon"/>
            </w:rPr>
            <w:t xml:space="preserve">Strana </w:t>
          </w:r>
          <w:r w:rsidRPr="00886E00">
            <w:rPr>
              <w:rStyle w:val="slostrnky"/>
              <w:rFonts w:ascii="NimbusSanDCon" w:hAnsi="NimbusSanDCon"/>
            </w:rPr>
            <w:fldChar w:fldCharType="begin"/>
          </w:r>
          <w:r w:rsidRPr="00886E00">
            <w:rPr>
              <w:rStyle w:val="slostrnky"/>
              <w:rFonts w:ascii="NimbusSanDCon" w:hAnsi="NimbusSanDCon"/>
            </w:rPr>
            <w:instrText xml:space="preserve"> PAGE </w:instrText>
          </w:r>
          <w:r w:rsidRPr="00886E00">
            <w:rPr>
              <w:rStyle w:val="slostrnky"/>
              <w:rFonts w:ascii="NimbusSanDCon" w:hAnsi="NimbusSanDCon"/>
            </w:rPr>
            <w:fldChar w:fldCharType="separate"/>
          </w:r>
          <w:r w:rsidR="007D58F4">
            <w:rPr>
              <w:rStyle w:val="slostrnky"/>
              <w:rFonts w:ascii="NimbusSanDCon" w:hAnsi="NimbusSanDCon"/>
              <w:noProof/>
            </w:rPr>
            <w:t>1</w:t>
          </w:r>
          <w:r w:rsidRPr="00886E00">
            <w:rPr>
              <w:rStyle w:val="slostrnky"/>
              <w:rFonts w:ascii="NimbusSanDCon" w:hAnsi="NimbusSanDCon"/>
            </w:rPr>
            <w:fldChar w:fldCharType="end"/>
          </w:r>
        </w:p>
      </w:tc>
    </w:tr>
  </w:tbl>
  <w:p w:rsidR="00F07489" w:rsidRPr="001833FE" w:rsidRDefault="00F07489" w:rsidP="001833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EA3" w:rsidRDefault="00743EA3">
      <w:r>
        <w:separator/>
      </w:r>
    </w:p>
  </w:footnote>
  <w:footnote w:type="continuationSeparator" w:id="0">
    <w:p w:rsidR="00743EA3" w:rsidRDefault="00743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E1232"/>
    <w:multiLevelType w:val="hybridMultilevel"/>
    <w:tmpl w:val="52DAE9CE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 w15:restartNumberingAfterBreak="0">
    <w:nsid w:val="339630B7"/>
    <w:multiLevelType w:val="hybridMultilevel"/>
    <w:tmpl w:val="145ED2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72C82"/>
    <w:multiLevelType w:val="hybridMultilevel"/>
    <w:tmpl w:val="503C9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drawingGridHorizontalSpacing w:val="10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4DC"/>
    <w:rsid w:val="000006F9"/>
    <w:rsid w:val="00000A29"/>
    <w:rsid w:val="0004510A"/>
    <w:rsid w:val="000736A2"/>
    <w:rsid w:val="0009299B"/>
    <w:rsid w:val="000A14DC"/>
    <w:rsid w:val="000A247F"/>
    <w:rsid w:val="000B1425"/>
    <w:rsid w:val="00107ED0"/>
    <w:rsid w:val="00121648"/>
    <w:rsid w:val="00125ECC"/>
    <w:rsid w:val="00143AF5"/>
    <w:rsid w:val="001833FE"/>
    <w:rsid w:val="001903A0"/>
    <w:rsid w:val="001C3A36"/>
    <w:rsid w:val="00200C7D"/>
    <w:rsid w:val="00267E6B"/>
    <w:rsid w:val="00292B25"/>
    <w:rsid w:val="002C63B3"/>
    <w:rsid w:val="0031555D"/>
    <w:rsid w:val="003A1602"/>
    <w:rsid w:val="00443F72"/>
    <w:rsid w:val="00471ECC"/>
    <w:rsid w:val="00472B04"/>
    <w:rsid w:val="00485104"/>
    <w:rsid w:val="00507E55"/>
    <w:rsid w:val="005724A6"/>
    <w:rsid w:val="005A3804"/>
    <w:rsid w:val="00657E3F"/>
    <w:rsid w:val="00664B24"/>
    <w:rsid w:val="006B7CB3"/>
    <w:rsid w:val="0072457A"/>
    <w:rsid w:val="00743EA3"/>
    <w:rsid w:val="00761BFE"/>
    <w:rsid w:val="007D58F4"/>
    <w:rsid w:val="00831224"/>
    <w:rsid w:val="00840327"/>
    <w:rsid w:val="00856A0E"/>
    <w:rsid w:val="008F0D11"/>
    <w:rsid w:val="009543DB"/>
    <w:rsid w:val="0099240A"/>
    <w:rsid w:val="00997F59"/>
    <w:rsid w:val="009A0B30"/>
    <w:rsid w:val="009B08B3"/>
    <w:rsid w:val="00A445B8"/>
    <w:rsid w:val="00A74EB7"/>
    <w:rsid w:val="00AA524A"/>
    <w:rsid w:val="00AB4C02"/>
    <w:rsid w:val="00AC7AE4"/>
    <w:rsid w:val="00AE6151"/>
    <w:rsid w:val="00B34D8B"/>
    <w:rsid w:val="00B45114"/>
    <w:rsid w:val="00BB176F"/>
    <w:rsid w:val="00BD03A7"/>
    <w:rsid w:val="00C0662D"/>
    <w:rsid w:val="00C35F01"/>
    <w:rsid w:val="00C87932"/>
    <w:rsid w:val="00D546F1"/>
    <w:rsid w:val="00DA057F"/>
    <w:rsid w:val="00DA5F26"/>
    <w:rsid w:val="00DF582E"/>
    <w:rsid w:val="00E02236"/>
    <w:rsid w:val="00E3017B"/>
    <w:rsid w:val="00E36D73"/>
    <w:rsid w:val="00E76511"/>
    <w:rsid w:val="00EC0FFC"/>
    <w:rsid w:val="00EF1478"/>
    <w:rsid w:val="00EF402E"/>
    <w:rsid w:val="00F07489"/>
    <w:rsid w:val="00F65FDE"/>
    <w:rsid w:val="00F7562E"/>
    <w:rsid w:val="00F868D1"/>
    <w:rsid w:val="00F93DCD"/>
    <w:rsid w:val="00FC13AE"/>
    <w:rsid w:val="00FC7130"/>
    <w:rsid w:val="00FF123E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D7D2043C-586F-4945-B2C4-149DFC4F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DCD"/>
    <w:pPr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9299B"/>
    <w:pPr>
      <w:jc w:val="center"/>
    </w:pPr>
    <w:rPr>
      <w:rFonts w:cs="Arial"/>
      <w:b/>
      <w:bCs/>
      <w:sz w:val="28"/>
    </w:rPr>
  </w:style>
  <w:style w:type="paragraph" w:styleId="Zhlav">
    <w:name w:val="header"/>
    <w:basedOn w:val="Normln"/>
    <w:link w:val="ZhlavChar"/>
    <w:rsid w:val="000929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929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833FE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1833FE"/>
    <w:rPr>
      <w:sz w:val="24"/>
      <w:szCs w:val="24"/>
    </w:rPr>
  </w:style>
  <w:style w:type="character" w:styleId="slostrnky">
    <w:name w:val="page number"/>
    <w:basedOn w:val="Standardnpsmoodstavce"/>
    <w:rsid w:val="001833FE"/>
  </w:style>
  <w:style w:type="paragraph" w:styleId="Odstavecseseznamem">
    <w:name w:val="List Paragraph"/>
    <w:basedOn w:val="Normln"/>
    <w:uiPriority w:val="34"/>
    <w:qFormat/>
    <w:rsid w:val="003A1602"/>
    <w:pPr>
      <w:spacing w:line="360" w:lineRule="auto"/>
      <w:ind w:left="720"/>
      <w:contextualSpacing/>
      <w:jc w:val="left"/>
    </w:pPr>
  </w:style>
  <w:style w:type="character" w:customStyle="1" w:styleId="NzevChar">
    <w:name w:val="Název Char"/>
    <w:basedOn w:val="Standardnpsmoodstavce"/>
    <w:link w:val="Nzev"/>
    <w:rsid w:val="00F93DCD"/>
    <w:rPr>
      <w:rFonts w:ascii="Arial" w:hAnsi="Arial" w:cs="Arial"/>
      <w:b/>
      <w:bCs/>
      <w:sz w:val="28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B4C0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B4C02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62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4A224-BB18-4303-8C0B-264EB8C78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436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>Prezenční listina</vt:lpstr>
      <vt:lpstr>/Záznam jednání</vt:lpstr>
      <vt:lpstr>Datum jednání:	13. října 2017</vt:lpstr>
      <vt:lpstr>Na tomto jednání bylo projednáno následující:</vt:lpstr>
      <vt:lpstr>Z dosud provedených analýz vyplynulo:</vt:lpstr>
      <vt:lpstr>Dále bylo sděleno:</vt:lpstr>
      <vt:lpstr>Bylo dohodnuto:</vt:lpstr>
      <vt:lpstr>Prezenční listina</vt:lpstr>
      <vt:lpstr>Datum jednání:	13. října 2017</vt:lpstr>
      <vt:lpstr>Místo jednání:		Povodí Moravy, s.p., U Dětského domova 263/4, Olomouc</vt:lpstr>
    </vt:vector>
  </TitlesOfParts>
  <Company>*</Company>
  <LinksUpToDate>false</LinksUpToDate>
  <CharactersWithSpaces>2923</CharactersWithSpaces>
  <SharedDoc>false</SharedDoc>
  <HLinks>
    <vt:vector size="6" baseType="variant">
      <vt:variant>
        <vt:i4>458768</vt:i4>
      </vt:variant>
      <vt:variant>
        <vt:i4>1558</vt:i4>
      </vt:variant>
      <vt:variant>
        <vt:i4>1025</vt:i4>
      </vt:variant>
      <vt:variant>
        <vt:i4>1</vt:i4>
      </vt:variant>
      <vt:variant>
        <vt:lpwstr>..\..\Propagace\logo\logo smlouva.jpg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Prezenční listina</dc:title>
  <dc:creator>*</dc:creator>
  <cp:lastModifiedBy>Anna Kavalírová</cp:lastModifiedBy>
  <cp:revision>16</cp:revision>
  <cp:lastPrinted>2017-10-12T12:34:00Z</cp:lastPrinted>
  <dcterms:created xsi:type="dcterms:W3CDTF">2017-10-17T09:22:00Z</dcterms:created>
  <dcterms:modified xsi:type="dcterms:W3CDTF">2017-10-19T09:48:00Z</dcterms:modified>
</cp:coreProperties>
</file>